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0A5BD" w14:textId="1F556B25" w:rsidR="00000000" w:rsidRPr="00E21A36" w:rsidRDefault="00E04D82" w:rsidP="00E21A3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Zone interessate dalla battaglia dell’Atlantico</w:t>
      </w:r>
      <w:r w:rsidR="00E21A36" w:rsidRPr="00E21A36">
        <w:rPr>
          <w:rFonts w:ascii="Times New Roman" w:hAnsi="Times New Roman" w:cs="Times New Roman"/>
          <w:sz w:val="20"/>
          <w:szCs w:val="20"/>
        </w:rPr>
        <w:t>. I punti verdi rappresentano gli affondamenti dei mercantili inglesi, quelli rossi gli affondamenti dei sottomarini tedeschi. Le linee tratteggiate sono rotte mercantili</w:t>
      </w:r>
    </w:p>
    <w:sectPr w:rsidR="001B0D0E" w:rsidRPr="00E21A36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36"/>
    <w:rsid w:val="0021661C"/>
    <w:rsid w:val="002B7DF1"/>
    <w:rsid w:val="00AD1CEE"/>
    <w:rsid w:val="00E04D82"/>
    <w:rsid w:val="00E21A36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935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2025-07-16T11:19:00Z</dcterms:created>
  <dcterms:modified xsi:type="dcterms:W3CDTF">2025-10-12T13:13:00Z</dcterms:modified>
</cp:coreProperties>
</file>